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</w:rPr>
        <w:t>法医类司法鉴定执业分类目录</w:t>
      </w:r>
    </w:p>
    <w:p>
      <w:pPr>
        <w:widowControl/>
        <w:shd w:val="clear" w:color="auto" w:fill="FFFFFF"/>
        <w:adjustRightInd w:val="0"/>
        <w:snapToGrid w:val="0"/>
        <w:spacing w:line="360" w:lineRule="auto"/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</w:rPr>
      </w:pPr>
      <w:bookmarkStart w:id="1" w:name="_GoBack"/>
      <w:bookmarkEnd w:id="1"/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369"/>
        <w:gridCol w:w="4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9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领域</w:t>
            </w: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分领域及项目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390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法医病理鉴定</w:t>
            </w:r>
          </w:p>
        </w:tc>
        <w:tc>
          <w:tcPr>
            <w:tcW w:w="2656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0101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死亡原因鉴定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</w:tcPr>
          <w:p>
            <w:pPr>
              <w:widowControl/>
              <w:adjustRightInd w:val="0"/>
              <w:snapToGrid w:val="0"/>
              <w:ind w:firstLine="240" w:firstLineChars="10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010101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尸体解剖，死亡原因鉴定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</w:tcPr>
          <w:p>
            <w:pPr>
              <w:widowControl/>
              <w:adjustRightInd w:val="0"/>
              <w:snapToGrid w:val="0"/>
              <w:ind w:firstLine="240" w:firstLineChars="10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010102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尸表检验，死亡原因分析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</w:tcPr>
          <w:p>
            <w:pPr>
              <w:widowControl/>
              <w:adjustRightInd w:val="0"/>
              <w:snapToGrid w:val="0"/>
              <w:ind w:firstLine="240" w:firstLineChars="10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010103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器官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切片检验，死亡原因分析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0102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器官组织法医病理学检验与诊断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0103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死亡方式判断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0104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死亡时间推断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0105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损伤时间推断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0106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致伤物推断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0107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成伤机制分析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0108 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医疗损害鉴定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0109 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与死亡原因相关的其他法医病理鉴定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390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法医临床鉴定</w:t>
            </w:r>
          </w:p>
        </w:tc>
        <w:tc>
          <w:tcPr>
            <w:tcW w:w="2656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0201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人体损伤程度鉴定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0202 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人体残疾等级鉴定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0203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赔偿相关鉴定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bookmarkStart w:id="0" w:name="_Hlk58684254"/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0204 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人体功能评定</w:t>
            </w:r>
          </w:p>
          <w:p>
            <w:pPr>
              <w:widowControl/>
              <w:adjustRightInd w:val="0"/>
              <w:snapToGrid w:val="0"/>
              <w:ind w:firstLine="240" w:firstLineChars="10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020401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视觉功能</w:t>
            </w:r>
          </w:p>
          <w:p>
            <w:pPr>
              <w:widowControl/>
              <w:adjustRightInd w:val="0"/>
              <w:snapToGrid w:val="0"/>
              <w:ind w:firstLine="240" w:firstLineChars="10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020402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听觉功能</w:t>
            </w:r>
          </w:p>
          <w:p>
            <w:pPr>
              <w:widowControl/>
              <w:adjustRightInd w:val="0"/>
              <w:snapToGrid w:val="0"/>
              <w:ind w:firstLine="240" w:firstLineChars="10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020403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男性性功能与生育功能</w:t>
            </w:r>
          </w:p>
          <w:p>
            <w:pPr>
              <w:adjustRightInd w:val="0"/>
              <w:snapToGrid w:val="0"/>
              <w:ind w:firstLine="240" w:firstLineChars="10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020404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嗅觉功能</w:t>
            </w:r>
          </w:p>
          <w:p>
            <w:pPr>
              <w:adjustRightInd w:val="0"/>
              <w:snapToGrid w:val="0"/>
              <w:ind w:firstLine="240" w:firstLineChars="10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20405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前庭平衡功能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0205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性侵犯与性别鉴定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0206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诈伤、诈病、造作伤鉴定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0207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医疗损害鉴定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0208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骨龄鉴定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0209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与人体损伤相关的其他法医临床鉴定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390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法医精神病鉴定</w:t>
            </w: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0301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精神状态鉴定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0302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刑事类行为能力鉴定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0303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民事类行为能力鉴定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0304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其他类行为能力鉴定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0305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精神损伤类鉴定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0306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医疗损害鉴定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0307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危险性评估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0308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精神障碍医学鉴定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0309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与心理、精神相关的其他法医精神病鉴定或测试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390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法医物证鉴定</w:t>
            </w: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0401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个体识别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0402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三联体亲子关系鉴定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0403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二联体亲子关系鉴定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0404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亲缘关系鉴定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0405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生物检材种属和组织来源鉴定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0406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生物检材来源生物地理溯源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0407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生物检材来源个体表型推断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0408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生物检材来源个体年龄推断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0409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与非人源生物检材相关的其他法医物证鉴定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390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法医毒物鉴定</w:t>
            </w: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0501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气体毒物鉴定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0502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挥发性毒物鉴定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0503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合成药毒物鉴定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0504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天然药毒物鉴定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0505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毒品鉴定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0506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易制毒化学品鉴定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0507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杀虫剂鉴定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0508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除草剂鉴定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0509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杀鼠剂鉴定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0510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金属毒物鉴定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0511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水溶性无机毒物鉴定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0512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与毒物相关的其他法医毒物鉴定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2020-12-30T02:00:49Z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